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9B" w:rsidRPr="009B63EB" w:rsidRDefault="00E2499B" w:rsidP="00A93267">
      <w:pPr>
        <w:autoSpaceDE w:val="0"/>
        <w:autoSpaceDN w:val="0"/>
        <w:adjustRightInd w:val="0"/>
        <w:spacing w:after="0" w:line="240" w:lineRule="auto"/>
        <w:rPr>
          <w:rFonts w:ascii="AGaramondPro-Italic" w:hAnsi="AGaramondPro-Italic" w:cs="AGaramondPro-Italic"/>
          <w:b/>
          <w:i/>
          <w:iCs/>
          <w:sz w:val="24"/>
          <w:szCs w:val="24"/>
        </w:rPr>
      </w:pPr>
      <w:r w:rsidRPr="009B63EB">
        <w:rPr>
          <w:rFonts w:ascii="AGaramondPro-Italic" w:hAnsi="AGaramondPro-Italic" w:cs="AGaramondPro-Italic"/>
          <w:b/>
          <w:i/>
          <w:iCs/>
          <w:sz w:val="24"/>
          <w:szCs w:val="24"/>
        </w:rPr>
        <w:t xml:space="preserve">Proyección </w:t>
      </w:r>
      <w:r w:rsidR="00ED4744" w:rsidRPr="009B63EB">
        <w:rPr>
          <w:rFonts w:ascii="AGaramondPro-Italic" w:hAnsi="AGaramondPro-Italic" w:cs="AGaramondPro-Italic"/>
          <w:b/>
          <w:i/>
          <w:iCs/>
          <w:sz w:val="24"/>
          <w:szCs w:val="24"/>
        </w:rPr>
        <w:t>LIX</w:t>
      </w:r>
      <w:r w:rsidRPr="009B63EB">
        <w:rPr>
          <w:rFonts w:ascii="AGaramondPro-Italic" w:hAnsi="AGaramondPro-Italic" w:cs="AGaramondPro-Italic"/>
          <w:b/>
          <w:i/>
          <w:iCs/>
          <w:sz w:val="24"/>
          <w:szCs w:val="24"/>
        </w:rPr>
        <w:t xml:space="preserve"> (2012), 354</w:t>
      </w:r>
    </w:p>
    <w:p w:rsidR="00E2499B" w:rsidRPr="009B63EB" w:rsidRDefault="00E2499B" w:rsidP="00A93267">
      <w:pPr>
        <w:autoSpaceDE w:val="0"/>
        <w:autoSpaceDN w:val="0"/>
        <w:adjustRightInd w:val="0"/>
        <w:spacing w:after="0" w:line="240" w:lineRule="auto"/>
        <w:rPr>
          <w:rFonts w:ascii="AGaramondPro-Italic" w:hAnsi="AGaramondPro-Italic" w:cs="AGaramondPro-Italic"/>
          <w:i/>
          <w:iCs/>
          <w:sz w:val="24"/>
          <w:szCs w:val="24"/>
        </w:rPr>
      </w:pPr>
    </w:p>
    <w:p w:rsidR="009B63EB" w:rsidRDefault="00A93267" w:rsidP="009B63EB">
      <w:pPr>
        <w:autoSpaceDE w:val="0"/>
        <w:autoSpaceDN w:val="0"/>
        <w:adjustRightInd w:val="0"/>
        <w:spacing w:after="0" w:line="240" w:lineRule="auto"/>
        <w:ind w:firstLine="708"/>
        <w:rPr>
          <w:rFonts w:ascii="AGaramondPro-Regular" w:hAnsi="AGaramondPro-Regular" w:cs="AGaramondPro-Regular"/>
          <w:sz w:val="24"/>
          <w:szCs w:val="24"/>
        </w:rPr>
      </w:pPr>
      <w:r w:rsidRPr="009B63EB">
        <w:rPr>
          <w:rFonts w:ascii="AGaramondPro-Italic" w:hAnsi="AGaramondPro-Italic" w:cs="AGaramondPro-Italic"/>
          <w:i/>
          <w:iCs/>
          <w:sz w:val="24"/>
          <w:szCs w:val="24"/>
        </w:rPr>
        <w:t>Con la música a otra parte. Volver la mirada</w:t>
      </w:r>
      <w:r w:rsidRPr="009B63EB">
        <w:rPr>
          <w:rFonts w:ascii="AGaramondPro-Regular" w:hAnsi="AGaramondPro-Regular" w:cs="AGaramondPro-Regular"/>
          <w:sz w:val="24"/>
          <w:szCs w:val="24"/>
        </w:rPr>
        <w:t>.</w:t>
      </w:r>
    </w:p>
    <w:p w:rsidR="00A93267" w:rsidRDefault="00A93267" w:rsidP="009B63EB">
      <w:pPr>
        <w:autoSpaceDE w:val="0"/>
        <w:autoSpaceDN w:val="0"/>
        <w:adjustRightInd w:val="0"/>
        <w:spacing w:after="0" w:line="240" w:lineRule="auto"/>
        <w:ind w:firstLine="708"/>
        <w:rPr>
          <w:rFonts w:ascii="AGaramondPro-Regular" w:hAnsi="AGaramondPro-Regular" w:cs="AGaramondPro-Regular"/>
          <w:sz w:val="24"/>
          <w:szCs w:val="24"/>
        </w:rPr>
      </w:pPr>
      <w:r w:rsidRPr="009B63EB">
        <w:rPr>
          <w:rFonts w:ascii="AGaramondPro-Regular" w:hAnsi="AGaramondPro-Regular" w:cs="AGaramondPro-Regular"/>
          <w:sz w:val="24"/>
          <w:szCs w:val="24"/>
        </w:rPr>
        <w:t xml:space="preserve">Ediciones </w:t>
      </w:r>
      <w:proofErr w:type="spellStart"/>
      <w:r w:rsidRPr="009B63EB">
        <w:rPr>
          <w:rFonts w:ascii="AGaramondPro-Regular" w:hAnsi="AGaramondPro-Regular" w:cs="AGaramondPro-Regular"/>
          <w:sz w:val="24"/>
          <w:szCs w:val="24"/>
        </w:rPr>
        <w:t>Khaf</w:t>
      </w:r>
      <w:proofErr w:type="spellEnd"/>
      <w:r w:rsidRPr="009B63EB">
        <w:rPr>
          <w:rFonts w:ascii="AGaramondPro-Regular" w:hAnsi="AGaramondPro-Regular" w:cs="AGaramondPro-Regular"/>
          <w:sz w:val="24"/>
          <w:szCs w:val="24"/>
        </w:rPr>
        <w:t>, Madrid 2012, 144 pp., 15,50 €</w:t>
      </w:r>
    </w:p>
    <w:p w:rsidR="009B63EB" w:rsidRPr="009B63EB" w:rsidRDefault="009B63EB" w:rsidP="009B63EB">
      <w:pPr>
        <w:autoSpaceDE w:val="0"/>
        <w:autoSpaceDN w:val="0"/>
        <w:adjustRightInd w:val="0"/>
        <w:spacing w:after="0" w:line="240" w:lineRule="auto"/>
        <w:ind w:firstLine="708"/>
        <w:rPr>
          <w:rFonts w:ascii="AGaramondPro-Regular" w:hAnsi="AGaramondPro-Regular" w:cs="AGaramondPro-Regular"/>
          <w:sz w:val="24"/>
          <w:szCs w:val="24"/>
        </w:rPr>
      </w:pPr>
    </w:p>
    <w:p w:rsidR="001851C7" w:rsidRPr="009B63EB" w:rsidRDefault="00A93267" w:rsidP="00E2499B">
      <w:pPr>
        <w:autoSpaceDE w:val="0"/>
        <w:autoSpaceDN w:val="0"/>
        <w:adjustRightInd w:val="0"/>
        <w:spacing w:after="0" w:line="240" w:lineRule="auto"/>
        <w:rPr>
          <w:rFonts w:ascii="AGaramondPro-Regular" w:hAnsi="AGaramondPro-Regular" w:cs="AGaramondPro-Regular"/>
          <w:sz w:val="24"/>
          <w:szCs w:val="24"/>
        </w:rPr>
      </w:pPr>
      <w:r w:rsidRPr="009B63EB">
        <w:rPr>
          <w:rFonts w:ascii="AGaramondPro-Regular" w:hAnsi="AGaramondPro-Regular" w:cs="AGaramondPro-Regular"/>
          <w:sz w:val="24"/>
          <w:szCs w:val="24"/>
        </w:rPr>
        <w:t xml:space="preserve">Ediciones </w:t>
      </w:r>
      <w:proofErr w:type="spellStart"/>
      <w:r w:rsidRPr="009B63EB">
        <w:rPr>
          <w:rFonts w:ascii="AGaramondPro-Regular" w:hAnsi="AGaramondPro-Regular" w:cs="AGaramondPro-Regular"/>
          <w:sz w:val="24"/>
          <w:szCs w:val="24"/>
        </w:rPr>
        <w:t>Khaf</w:t>
      </w:r>
      <w:proofErr w:type="spellEnd"/>
      <w:r w:rsidRPr="009B63EB">
        <w:rPr>
          <w:rFonts w:ascii="AGaramondPro-Regular" w:hAnsi="AGaramondPro-Regular" w:cs="AGaramondPro-Regular"/>
          <w:sz w:val="24"/>
          <w:szCs w:val="24"/>
        </w:rPr>
        <w:t>, el sello de publicaciones religiosas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del Grupo Editorial Luis Vives (Hnos. Maristas),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nos ofrece, en la colección Expresarte,</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este proyecto pastoral que utiliza la música como</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punto de partida para la reflexión, la oración y</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el compromiso: “Este disco nos proponer hacer,</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e invitar a otros a hacer, un gran concierto (del</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latín “concertar”: poner de acuerdo, unir y poner</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en sintonía voces y cantos)” (p. 29). La propuesta</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se abre con una introducción que recoge dos reflexiones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iluminadoras: “Si se calla el cantor calla</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 xml:space="preserve">la vida” de J. </w:t>
      </w:r>
      <w:proofErr w:type="spellStart"/>
      <w:r w:rsidRPr="009B63EB">
        <w:rPr>
          <w:rFonts w:ascii="AGaramondPro-Regular" w:hAnsi="AGaramondPro-Regular" w:cs="AGaramondPro-Regular"/>
          <w:sz w:val="24"/>
          <w:szCs w:val="24"/>
        </w:rPr>
        <w:t>Yzuel</w:t>
      </w:r>
      <w:proofErr w:type="spellEnd"/>
      <w:r w:rsidRPr="009B63EB">
        <w:rPr>
          <w:rFonts w:ascii="AGaramondPro-Regular" w:hAnsi="AGaramondPro-Regular" w:cs="AGaramondPro-Regular"/>
          <w:sz w:val="24"/>
          <w:szCs w:val="24"/>
        </w:rPr>
        <w:t>, director del ICCE; y “A mí</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me evangelizó la música” de J. L. Cortés, cuyas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ilustraciones acompañan cada una de las propuestas.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A continuación, nueve temas musicales (ocho</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de ellos inéditos) de solistas y grupos españoles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que vienen trabajando desde los años noventa</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proponen una consideración de cuestiones como</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la explotación infantil, la Iglesia como Pueblo,</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Dios, la solidaridad… Cada propuesta musical se</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acompaña de un dossier con la letra de la canción</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y cuatro apartados: planteamiento; para empezar</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el diálogo; sugerencias didácticas; de otra forma;</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para profundizar. Muy útil para invitar a la reflexión</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y la oración en cualquier grupo cristiano</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que, haciendo memoria del Concilio Vaticano II,</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quiera tomar el pulso a los gozos y esperanzas, alegrías</w:t>
      </w:r>
      <w:r w:rsidR="00E2499B" w:rsidRPr="009B63EB">
        <w:rPr>
          <w:rFonts w:ascii="AGaramondPro-Regular" w:hAnsi="AGaramondPro-Regular" w:cs="AGaramondPro-Regular"/>
          <w:sz w:val="24"/>
          <w:szCs w:val="24"/>
        </w:rPr>
        <w:t xml:space="preserve"> </w:t>
      </w:r>
      <w:r w:rsidRPr="009B63EB">
        <w:rPr>
          <w:rFonts w:ascii="AGaramondPro-Regular" w:hAnsi="AGaramondPro-Regular" w:cs="AGaramondPro-Regular"/>
          <w:sz w:val="24"/>
          <w:szCs w:val="24"/>
        </w:rPr>
        <w:t>y tristezas de este mundo.- J. Guevara.</w:t>
      </w:r>
    </w:p>
    <w:p w:rsidR="00E2499B" w:rsidRPr="009B63EB" w:rsidRDefault="00E2499B" w:rsidP="00E2499B">
      <w:pPr>
        <w:autoSpaceDE w:val="0"/>
        <w:autoSpaceDN w:val="0"/>
        <w:adjustRightInd w:val="0"/>
        <w:spacing w:after="0" w:line="240" w:lineRule="auto"/>
        <w:rPr>
          <w:rFonts w:ascii="AGaramondPro-Regular" w:hAnsi="AGaramondPro-Regular" w:cs="AGaramondPro-Regular"/>
          <w:sz w:val="24"/>
          <w:szCs w:val="24"/>
        </w:rPr>
      </w:pPr>
    </w:p>
    <w:p w:rsidR="00E2499B" w:rsidRPr="009B63EB" w:rsidRDefault="00E2499B" w:rsidP="00E2499B">
      <w:pPr>
        <w:autoSpaceDE w:val="0"/>
        <w:autoSpaceDN w:val="0"/>
        <w:adjustRightInd w:val="0"/>
        <w:spacing w:after="0" w:line="240" w:lineRule="auto"/>
        <w:rPr>
          <w:rFonts w:ascii="AGaramondPro-Italic" w:hAnsi="AGaramondPro-Italic" w:cs="AGaramondPro-Italic"/>
          <w:b/>
          <w:i/>
          <w:iCs/>
          <w:sz w:val="24"/>
          <w:szCs w:val="24"/>
        </w:rPr>
      </w:pPr>
      <w:r w:rsidRPr="009B63EB">
        <w:rPr>
          <w:rFonts w:ascii="AGaramondPro-Italic" w:hAnsi="AGaramondPro-Italic" w:cs="AGaramondPro-Italic"/>
          <w:b/>
          <w:i/>
          <w:iCs/>
          <w:sz w:val="24"/>
          <w:szCs w:val="24"/>
        </w:rPr>
        <w:t xml:space="preserve">Proyección </w:t>
      </w:r>
      <w:r w:rsidR="00ED4744" w:rsidRPr="009B63EB">
        <w:rPr>
          <w:rFonts w:ascii="AGaramondPro-Italic" w:hAnsi="AGaramondPro-Italic" w:cs="AGaramondPro-Italic"/>
          <w:b/>
          <w:i/>
          <w:iCs/>
          <w:sz w:val="24"/>
          <w:szCs w:val="24"/>
        </w:rPr>
        <w:t>LIX</w:t>
      </w:r>
      <w:r w:rsidRPr="009B63EB">
        <w:rPr>
          <w:rFonts w:ascii="AGaramondPro-Italic" w:hAnsi="AGaramondPro-Italic" w:cs="AGaramondPro-Italic"/>
          <w:b/>
          <w:i/>
          <w:iCs/>
          <w:sz w:val="24"/>
          <w:szCs w:val="24"/>
        </w:rPr>
        <w:t xml:space="preserve"> (2012), 358</w:t>
      </w:r>
      <w:r w:rsidR="00ED4744" w:rsidRPr="009B63EB">
        <w:rPr>
          <w:rFonts w:ascii="AGaramondPro-Italic" w:hAnsi="AGaramondPro-Italic" w:cs="AGaramondPro-Italic"/>
          <w:b/>
          <w:i/>
          <w:iCs/>
          <w:sz w:val="24"/>
          <w:szCs w:val="24"/>
        </w:rPr>
        <w:t>-359</w:t>
      </w:r>
    </w:p>
    <w:p w:rsidR="009B63EB" w:rsidRDefault="00ED4744" w:rsidP="009B63EB">
      <w:pPr>
        <w:autoSpaceDE w:val="0"/>
        <w:autoSpaceDN w:val="0"/>
        <w:adjustRightInd w:val="0"/>
        <w:spacing w:after="0" w:line="240" w:lineRule="auto"/>
        <w:ind w:firstLine="708"/>
        <w:rPr>
          <w:rFonts w:ascii="AGaramondPro-Italic" w:hAnsi="AGaramondPro-Italic" w:cs="AGaramondPro-Italic"/>
          <w:i/>
          <w:iCs/>
          <w:sz w:val="24"/>
          <w:szCs w:val="24"/>
        </w:rPr>
      </w:pPr>
      <w:r w:rsidRPr="009B63EB">
        <w:rPr>
          <w:rFonts w:ascii="AGaramondPro-Regular" w:hAnsi="AGaramondPro-Regular" w:cs="AGaramondPro-Regular"/>
          <w:sz w:val="24"/>
          <w:szCs w:val="24"/>
        </w:rPr>
        <w:t xml:space="preserve">Torralba, Francesc, </w:t>
      </w:r>
      <w:r w:rsidRPr="009B63EB">
        <w:rPr>
          <w:rFonts w:ascii="AGaramondPro-Italic" w:hAnsi="AGaramondPro-Italic" w:cs="AGaramondPro-Italic"/>
          <w:i/>
          <w:iCs/>
          <w:sz w:val="24"/>
          <w:szCs w:val="24"/>
        </w:rPr>
        <w:t>La lógica del don.</w:t>
      </w:r>
    </w:p>
    <w:p w:rsidR="00ED4744" w:rsidRDefault="009B63EB" w:rsidP="009B63EB">
      <w:pPr>
        <w:autoSpaceDE w:val="0"/>
        <w:autoSpaceDN w:val="0"/>
        <w:adjustRightInd w:val="0"/>
        <w:spacing w:after="0" w:line="240" w:lineRule="auto"/>
        <w:ind w:firstLine="708"/>
        <w:rPr>
          <w:rFonts w:ascii="AGaramondPro-Regular" w:hAnsi="AGaramondPro-Regular" w:cs="AGaramondPro-Regular"/>
          <w:sz w:val="24"/>
          <w:szCs w:val="24"/>
        </w:rPr>
      </w:pPr>
      <w:r w:rsidRPr="009B63EB">
        <w:rPr>
          <w:rFonts w:ascii="AGaramondPro-Regular" w:hAnsi="AGaramondPro-Regular" w:cs="AGaramondPro-Regular"/>
          <w:sz w:val="24"/>
          <w:szCs w:val="24"/>
        </w:rPr>
        <w:t xml:space="preserve">Ediciones </w:t>
      </w:r>
      <w:proofErr w:type="spellStart"/>
      <w:r w:rsidRPr="009B63EB">
        <w:rPr>
          <w:rFonts w:ascii="AGaramondPro-Regular" w:hAnsi="AGaramondPro-Regular" w:cs="AGaramondPro-Regular"/>
          <w:sz w:val="24"/>
          <w:szCs w:val="24"/>
        </w:rPr>
        <w:t>Khaf</w:t>
      </w:r>
      <w:proofErr w:type="spellEnd"/>
      <w:r w:rsidRPr="009B63EB">
        <w:rPr>
          <w:rFonts w:ascii="AGaramondPro-Regular" w:hAnsi="AGaramondPro-Regular" w:cs="AGaramondPro-Regular"/>
          <w:sz w:val="24"/>
          <w:szCs w:val="24"/>
        </w:rPr>
        <w:t>, Madrid 2012</w:t>
      </w:r>
      <w:r w:rsidR="00ED4744" w:rsidRPr="009B63EB">
        <w:rPr>
          <w:rFonts w:ascii="AGaramondPro-Regular" w:hAnsi="AGaramondPro-Regular" w:cs="AGaramondPro-Regular"/>
          <w:sz w:val="24"/>
          <w:szCs w:val="24"/>
        </w:rPr>
        <w:t>, 165 pp., 14 €</w:t>
      </w:r>
    </w:p>
    <w:p w:rsidR="009B63EB" w:rsidRPr="009B63EB" w:rsidRDefault="009B63EB" w:rsidP="009B63EB">
      <w:pPr>
        <w:autoSpaceDE w:val="0"/>
        <w:autoSpaceDN w:val="0"/>
        <w:adjustRightInd w:val="0"/>
        <w:spacing w:after="0" w:line="240" w:lineRule="auto"/>
        <w:ind w:firstLine="708"/>
        <w:rPr>
          <w:rFonts w:ascii="AGaramondPro-Regular" w:hAnsi="AGaramondPro-Regular" w:cs="AGaramondPro-Regular"/>
          <w:sz w:val="24"/>
          <w:szCs w:val="24"/>
        </w:rPr>
      </w:pPr>
    </w:p>
    <w:p w:rsidR="00ED4744" w:rsidRPr="009B63EB" w:rsidRDefault="00ED4744" w:rsidP="00ED4744">
      <w:pPr>
        <w:autoSpaceDE w:val="0"/>
        <w:autoSpaceDN w:val="0"/>
        <w:adjustRightInd w:val="0"/>
        <w:spacing w:after="0" w:line="240" w:lineRule="auto"/>
        <w:rPr>
          <w:rFonts w:ascii="AGaramondPro-Italic" w:hAnsi="AGaramondPro-Italic" w:cs="AGaramondPro-Italic"/>
          <w:b/>
          <w:i/>
          <w:iCs/>
          <w:sz w:val="24"/>
          <w:szCs w:val="24"/>
        </w:rPr>
      </w:pPr>
      <w:r w:rsidRPr="009B63EB">
        <w:rPr>
          <w:rFonts w:ascii="AGaramondPro-Regular" w:hAnsi="AGaramondPro-Regular" w:cs="AGaramondPro-Regular"/>
          <w:sz w:val="24"/>
          <w:szCs w:val="24"/>
        </w:rPr>
        <w:t>El profesor F. Torralba tiene una agudizada intuición para detectar donde se encuentran los filones de oro intelectuales en nuestro tiempo. Sin duda, la fenomenología aparece hoy como una de las propuestas filosóficas más interesantes y estimulantes de la razón contemporánea. No obstante, este movimiento fenomenológico, con la variedad que lo caracteriza, tiene como elemento común un lenguaje codificado y alambicado que lo hace inaccesible al gran público. Por esta razón, y así interpretamos esta propuesta de Torralba, el pensador catalán nos ofrece una reflexión fresca y al alcance del gran público, donde se divulgan las intuiciones más significativas de la propuesta fenomenológica; nos ha resonado a lo largo de su lectura, de un modo especial, la filosofía del francés Jean-</w:t>
      </w:r>
      <w:proofErr w:type="spellStart"/>
      <w:r w:rsidRPr="009B63EB">
        <w:rPr>
          <w:rFonts w:ascii="AGaramondPro-Regular" w:hAnsi="AGaramondPro-Regular" w:cs="AGaramondPro-Regular"/>
          <w:sz w:val="24"/>
          <w:szCs w:val="24"/>
        </w:rPr>
        <w:t>Luc</w:t>
      </w:r>
      <w:proofErr w:type="spellEnd"/>
      <w:r w:rsidRPr="009B63EB">
        <w:rPr>
          <w:rFonts w:ascii="AGaramondPro-Regular" w:hAnsi="AGaramondPro-Regular" w:cs="AGaramondPro-Regular"/>
          <w:sz w:val="24"/>
          <w:szCs w:val="24"/>
        </w:rPr>
        <w:t xml:space="preserve"> Marion. La fenomenología, tras el desarrollo, exaltación y quiebra de la racionalidad moderna e ilustrada, propone la posibilidad de dejar a la realidad explicarse por sí misma. Así, cuando se permite al “ser” que se diga y establezca sus propias condiciones de posibilidad, la realidad entera acontece como epifanía, como manifestación y, más concretamente, como “don”. El autor revisita los grandes temas de la filosofía (ser, existir, el otro, el dolor, la justicia, la educación, el perdón…) desde esta clave: lo incondicionado y gratuito que, haciendo su aparición en nuestro mundo, lo sostiene, lo recrea y lo abre a nosotros.- S. Béjar.</w:t>
      </w:r>
    </w:p>
    <w:p w:rsidR="00E2499B" w:rsidRPr="009B63EB" w:rsidRDefault="00E2499B" w:rsidP="00E2499B">
      <w:pPr>
        <w:autoSpaceDE w:val="0"/>
        <w:autoSpaceDN w:val="0"/>
        <w:adjustRightInd w:val="0"/>
        <w:spacing w:after="0" w:line="240" w:lineRule="auto"/>
        <w:rPr>
          <w:sz w:val="24"/>
          <w:szCs w:val="24"/>
        </w:rPr>
      </w:pPr>
    </w:p>
    <w:sectPr w:rsidR="00E2499B" w:rsidRPr="009B63EB" w:rsidSect="001851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aramondPro-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93267"/>
    <w:rsid w:val="001851C7"/>
    <w:rsid w:val="009B63EB"/>
    <w:rsid w:val="00A93267"/>
    <w:rsid w:val="00E2499B"/>
    <w:rsid w:val="00ED47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cplaza</dc:creator>
  <cp:lastModifiedBy>cplaza</cp:lastModifiedBy>
  <cp:revision>3</cp:revision>
  <dcterms:created xsi:type="dcterms:W3CDTF">2012-12-11T08:22:00Z</dcterms:created>
  <dcterms:modified xsi:type="dcterms:W3CDTF">2012-12-11T08:44:00Z</dcterms:modified>
</cp:coreProperties>
</file>